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45"/>
        <w:gridCol w:w="2685"/>
      </w:tblGrid>
      <w:tr w:rsidR="00ED3F95" w:rsidRPr="00ED3F95" w:rsidTr="00ED3F95">
        <w:tc>
          <w:tcPr>
            <w:tcW w:w="7345" w:type="dxa"/>
            <w:hideMark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685" w:type="dxa"/>
            <w:hideMark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ED3F95" w:rsidRPr="00ED3F95" w:rsidTr="00891973">
        <w:tc>
          <w:tcPr>
            <w:tcW w:w="7345" w:type="dxa"/>
          </w:tcPr>
          <w:p w:rsidR="00ED3F95" w:rsidRPr="00ED3F95" w:rsidRDefault="00891973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85" w:type="dxa"/>
            <w:hideMark/>
          </w:tcPr>
          <w:p w:rsidR="00ED3F95" w:rsidRPr="00ED3F95" w:rsidRDefault="00ED3F95" w:rsidP="009E2806">
            <w:pPr>
              <w:tabs>
                <w:tab w:val="left" w:pos="6530"/>
                <w:tab w:val="left" w:pos="838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№01-11/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Pr="00ED3F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F95" w:rsidRPr="00ED3F95" w:rsidTr="00891973">
        <w:tc>
          <w:tcPr>
            <w:tcW w:w="7345" w:type="dxa"/>
          </w:tcPr>
          <w:p w:rsidR="00ED3F95" w:rsidRPr="00ED3F95" w:rsidRDefault="00891973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  <w:hideMark/>
          </w:tcPr>
          <w:p w:rsidR="00ED3F95" w:rsidRPr="00ED3F95" w:rsidRDefault="00ED3F95" w:rsidP="009E2806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3F95" w:rsidRPr="00ED3F95" w:rsidTr="00ED3F95">
        <w:tc>
          <w:tcPr>
            <w:tcW w:w="7345" w:type="dxa"/>
            <w:hideMark/>
          </w:tcPr>
          <w:p w:rsidR="00ED3F95" w:rsidRPr="00ED3F95" w:rsidRDefault="00ED3F95" w:rsidP="009E2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F95" w:rsidRPr="00ED3F95" w:rsidTr="00ED3F95">
        <w:tc>
          <w:tcPr>
            <w:tcW w:w="7345" w:type="dxa"/>
            <w:hideMark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учащихся</w:t>
            </w:r>
          </w:p>
        </w:tc>
        <w:tc>
          <w:tcPr>
            <w:tcW w:w="2685" w:type="dxa"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F95" w:rsidRPr="00ED3F95" w:rsidTr="00ED3F95">
        <w:tc>
          <w:tcPr>
            <w:tcW w:w="7345" w:type="dxa"/>
            <w:hideMark/>
          </w:tcPr>
          <w:p w:rsidR="00ED3F95" w:rsidRPr="00ED3F95" w:rsidRDefault="00ED3F95" w:rsidP="009E2806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E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E2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F95" w:rsidRPr="00ED3F95" w:rsidTr="00ED3F95">
        <w:tc>
          <w:tcPr>
            <w:tcW w:w="7345" w:type="dxa"/>
            <w:hideMark/>
          </w:tcPr>
          <w:p w:rsidR="00ED3F95" w:rsidRPr="00ED3F95" w:rsidRDefault="00ED3F95" w:rsidP="00ED3F95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hideMark/>
          </w:tcPr>
          <w:p w:rsidR="00ED3F95" w:rsidRPr="00ED3F95" w:rsidRDefault="00ED3F95" w:rsidP="00ED3F9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75443" w:rsidRPr="00F75443" w:rsidRDefault="00F75443" w:rsidP="00F75443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  <w:r w:rsidRPr="00F75443">
        <w:rPr>
          <w:rFonts w:ascii="Times New Roman" w:eastAsia="Times New Roman" w:hAnsi="Times New Roman"/>
          <w:b/>
          <w:bCs/>
          <w:kern w:val="32"/>
          <w:sz w:val="28"/>
          <w:szCs w:val="32"/>
        </w:rPr>
        <w:t>Порядок выдачи документа об обучении по образовательным программам, по которым не предусмотрено проведение итоговой аттестации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Порядок</w:t>
      </w:r>
      <w:r w:rsidR="00ED3F95">
        <w:rPr>
          <w:rFonts w:ascii="Times New Roman" w:hAnsi="Times New Roman"/>
          <w:sz w:val="28"/>
          <w:szCs w:val="28"/>
        </w:rPr>
        <w:t xml:space="preserve"> </w:t>
      </w:r>
      <w:r w:rsidR="00ED3F95" w:rsidRPr="00ED3F95">
        <w:rPr>
          <w:rFonts w:ascii="Times New Roman" w:hAnsi="Times New Roman"/>
          <w:sz w:val="28"/>
          <w:szCs w:val="28"/>
        </w:rPr>
        <w:t>выда</w:t>
      </w:r>
      <w:bookmarkStart w:id="0" w:name="_GoBack"/>
      <w:bookmarkEnd w:id="0"/>
      <w:r w:rsidR="00ED3F95" w:rsidRPr="00ED3F95">
        <w:rPr>
          <w:rFonts w:ascii="Times New Roman" w:hAnsi="Times New Roman"/>
          <w:sz w:val="28"/>
          <w:szCs w:val="28"/>
        </w:rPr>
        <w:t>чи документа об обучении по образовательным программам, по которым не предусмотрено проведение итоговой аттестации</w:t>
      </w:r>
      <w:r w:rsidR="00ED3F95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F75443">
        <w:rPr>
          <w:rFonts w:ascii="Times New Roman" w:hAnsi="Times New Roman"/>
          <w:sz w:val="28"/>
          <w:szCs w:val="28"/>
        </w:rPr>
        <w:t xml:space="preserve"> устанавливает правила выдачи документа об обучении лицам, освоившим образовательные программы, по которым не предусмотрено проведение итоговой аттестации в </w:t>
      </w:r>
      <w:r w:rsidR="00ED3F95">
        <w:rPr>
          <w:rFonts w:ascii="Times New Roman" w:hAnsi="Times New Roman"/>
          <w:sz w:val="28"/>
          <w:szCs w:val="28"/>
        </w:rPr>
        <w:t>муниципальном общеобразовательном учреждении «Средняя школа №6»</w:t>
      </w:r>
      <w:r w:rsidRPr="00F75443">
        <w:rPr>
          <w:rFonts w:ascii="Times New Roman" w:hAnsi="Times New Roman"/>
          <w:sz w:val="28"/>
          <w:szCs w:val="28"/>
        </w:rPr>
        <w:t xml:space="preserve"> (далее – </w:t>
      </w:r>
      <w:r w:rsidR="00ED3F95">
        <w:rPr>
          <w:rFonts w:ascii="Times New Roman" w:hAnsi="Times New Roman"/>
          <w:sz w:val="28"/>
          <w:szCs w:val="28"/>
        </w:rPr>
        <w:t>У</w:t>
      </w:r>
      <w:r w:rsidRPr="00F75443">
        <w:rPr>
          <w:rFonts w:ascii="Times New Roman" w:hAnsi="Times New Roman"/>
          <w:sz w:val="28"/>
          <w:szCs w:val="28"/>
        </w:rPr>
        <w:t>чреждение).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trike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Документом об обучении по</w:t>
      </w:r>
      <w:r w:rsidR="00285F71">
        <w:rPr>
          <w:rFonts w:ascii="Times New Roman" w:hAnsi="Times New Roman"/>
          <w:sz w:val="28"/>
          <w:szCs w:val="28"/>
        </w:rPr>
        <w:t xml:space="preserve"> </w:t>
      </w:r>
      <w:r w:rsidRPr="00F75443">
        <w:rPr>
          <w:rFonts w:ascii="Times New Roman" w:hAnsi="Times New Roman"/>
          <w:bCs/>
          <w:sz w:val="28"/>
          <w:szCs w:val="28"/>
        </w:rPr>
        <w:t>образовательным программам, по которым не предусмотрено проведение итоговой аттестации, является свидетельство об обучении</w:t>
      </w:r>
      <w:r w:rsidR="00ED3F95">
        <w:rPr>
          <w:rFonts w:ascii="Times New Roman" w:hAnsi="Times New Roman"/>
          <w:bCs/>
          <w:sz w:val="28"/>
          <w:szCs w:val="28"/>
        </w:rPr>
        <w:t xml:space="preserve"> (Приложение №1)</w:t>
      </w:r>
      <w:r w:rsidRPr="00F75443">
        <w:rPr>
          <w:rFonts w:ascii="Times New Roman" w:hAnsi="Times New Roman"/>
          <w:bCs/>
          <w:sz w:val="28"/>
          <w:szCs w:val="28"/>
        </w:rPr>
        <w:t>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 xml:space="preserve">Форма свидетельства об обучении утверждается приказом директора </w:t>
      </w:r>
      <w:r w:rsidR="001B0EDE">
        <w:rPr>
          <w:rFonts w:ascii="Times New Roman" w:hAnsi="Times New Roman"/>
          <w:sz w:val="28"/>
          <w:szCs w:val="28"/>
        </w:rPr>
        <w:t>У</w:t>
      </w:r>
      <w:r w:rsidRPr="00F75443">
        <w:rPr>
          <w:rFonts w:ascii="Times New Roman" w:hAnsi="Times New Roman"/>
          <w:sz w:val="28"/>
          <w:szCs w:val="28"/>
        </w:rPr>
        <w:t>чреждения.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bCs/>
          <w:sz w:val="28"/>
          <w:szCs w:val="28"/>
        </w:rPr>
        <w:t>Свидетельство</w:t>
      </w:r>
      <w:r w:rsidRPr="00F75443">
        <w:rPr>
          <w:rFonts w:ascii="Times New Roman" w:hAnsi="Times New Roman"/>
          <w:sz w:val="28"/>
          <w:szCs w:val="28"/>
        </w:rPr>
        <w:t xml:space="preserve"> об обучении выдается несовершеннолетним учащимся, не имеющим основного общего образования, по заявлению их родителей (законных представителей), иным гражданам – по их личному заявлению.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Свидетельство об обучении выдается при условии выполнения учащимся учебного плана.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  <w:lang w:eastAsia="ru-RU"/>
        </w:rPr>
        <w:t xml:space="preserve">Свидетельство об обучении выдается </w:t>
      </w:r>
      <w:r w:rsidR="001B0EDE">
        <w:rPr>
          <w:rFonts w:ascii="Times New Roman" w:hAnsi="Times New Roman"/>
          <w:sz w:val="28"/>
          <w:szCs w:val="28"/>
          <w:lang w:eastAsia="ru-RU"/>
        </w:rPr>
        <w:t>У</w:t>
      </w:r>
      <w:r w:rsidRPr="00F75443">
        <w:rPr>
          <w:rFonts w:ascii="Times New Roman" w:hAnsi="Times New Roman"/>
          <w:sz w:val="28"/>
          <w:szCs w:val="28"/>
          <w:lang w:eastAsia="ru-RU"/>
        </w:rPr>
        <w:t>чреждением в срок, не превышающий 10 календарных дней со дня регистрации поступления заявления.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 xml:space="preserve">В </w:t>
      </w:r>
      <w:r w:rsidRPr="00F75443">
        <w:rPr>
          <w:rFonts w:ascii="Times New Roman" w:hAnsi="Times New Roman"/>
          <w:bCs/>
          <w:sz w:val="28"/>
          <w:szCs w:val="28"/>
        </w:rPr>
        <w:t>свидетельстве</w:t>
      </w:r>
      <w:r w:rsidRPr="00F75443">
        <w:rPr>
          <w:rFonts w:ascii="Times New Roman" w:hAnsi="Times New Roman"/>
          <w:sz w:val="28"/>
          <w:szCs w:val="28"/>
        </w:rPr>
        <w:t xml:space="preserve"> об обучении может указываться освоение одной или нескольких образовательных программ.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Свидетельство об обучении выдается на основании приказа директора учреждения о завершении обучения по соответствующей образовательной программе (программам).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Выдаваемому свидетельству об обучении присваивается номер.</w:t>
      </w:r>
    </w:p>
    <w:p w:rsidR="00F75443" w:rsidRPr="00F75443" w:rsidRDefault="00F75443" w:rsidP="001B007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 xml:space="preserve">Номер свидетельства об обучении включает в себя: две последние цифры года, в котором осуществляется выдача свидетельства об обучении, знак </w:t>
      </w:r>
      <w:r w:rsidR="001B0EDE">
        <w:rPr>
          <w:rFonts w:ascii="Times New Roman" w:hAnsi="Times New Roman"/>
          <w:sz w:val="28"/>
          <w:szCs w:val="28"/>
        </w:rPr>
        <w:t>«</w:t>
      </w:r>
      <w:r w:rsidRPr="00F75443">
        <w:rPr>
          <w:rFonts w:ascii="Times New Roman" w:hAnsi="Times New Roman"/>
          <w:sz w:val="28"/>
          <w:szCs w:val="28"/>
        </w:rPr>
        <w:t>–</w:t>
      </w:r>
      <w:r w:rsidR="001B0071">
        <w:rPr>
          <w:rFonts w:ascii="Times New Roman" w:hAnsi="Times New Roman"/>
          <w:sz w:val="28"/>
          <w:szCs w:val="28"/>
        </w:rPr>
        <w:t>»</w:t>
      </w:r>
      <w:r w:rsidRPr="00F75443">
        <w:rPr>
          <w:rFonts w:ascii="Times New Roman" w:hAnsi="Times New Roman"/>
          <w:sz w:val="28"/>
          <w:szCs w:val="28"/>
        </w:rPr>
        <w:t xml:space="preserve"> (тире), порядковый номер записи в книге учета выданных свидетельств об обучении (например, 14-42).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bCs/>
          <w:sz w:val="28"/>
          <w:szCs w:val="28"/>
        </w:rPr>
        <w:t>Свидетельство</w:t>
      </w:r>
      <w:r w:rsidRPr="00F75443">
        <w:rPr>
          <w:rFonts w:ascii="Times New Roman" w:hAnsi="Times New Roman"/>
          <w:sz w:val="28"/>
          <w:szCs w:val="28"/>
        </w:rPr>
        <w:t xml:space="preserve"> об обучении может быть выдано в любое время после завершения освоения образовательной программы.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lastRenderedPageBreak/>
        <w:t>Взамен утерянного (утраченного) свидетельства об обучении выдается его дубликат.</w:t>
      </w:r>
    </w:p>
    <w:p w:rsidR="00F75443" w:rsidRPr="00F75443" w:rsidRDefault="00F75443" w:rsidP="000E437B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На дубликате свидетельства об обучении в правом верхнем углу лицевой стороны бланка проставляется оттиск штампа «ДУБЛИКАТ».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 xml:space="preserve">Присвоенный </w:t>
      </w:r>
      <w:r w:rsidR="001B0071">
        <w:rPr>
          <w:rFonts w:ascii="Times New Roman" w:hAnsi="Times New Roman"/>
          <w:sz w:val="28"/>
          <w:szCs w:val="28"/>
        </w:rPr>
        <w:t>У</w:t>
      </w:r>
      <w:r w:rsidRPr="00F75443">
        <w:rPr>
          <w:rFonts w:ascii="Times New Roman" w:hAnsi="Times New Roman"/>
          <w:sz w:val="28"/>
          <w:szCs w:val="28"/>
        </w:rPr>
        <w:t>чреждением в соответствии с настоящим Порядком номер свидетельства об обучении сохраняется при выдаче дубликата свидетельства об обучении.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Свидетельство об обучени</w:t>
      </w:r>
      <w:r w:rsidR="00285F71">
        <w:rPr>
          <w:rFonts w:ascii="Times New Roman" w:hAnsi="Times New Roman"/>
          <w:sz w:val="28"/>
          <w:szCs w:val="28"/>
        </w:rPr>
        <w:t xml:space="preserve">и выдается под личную подпись </w:t>
      </w:r>
      <w:r w:rsidRPr="00F75443">
        <w:rPr>
          <w:rFonts w:ascii="Times New Roman" w:hAnsi="Times New Roman"/>
          <w:sz w:val="28"/>
          <w:szCs w:val="28"/>
        </w:rPr>
        <w:t>учащемуся при предъявлении им документа, удостоверяющего личность, либо родителям (законным представителям) несовершеннолетнего учащегося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F75443" w:rsidRPr="00F75443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Учреждение ведет Книгу учета выданных свидетельств об обучении на бумажном носителе и (или) в электронном виде</w:t>
      </w:r>
      <w:r w:rsidR="001B0071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E9437D">
        <w:rPr>
          <w:rFonts w:ascii="Times New Roman" w:hAnsi="Times New Roman"/>
          <w:sz w:val="28"/>
          <w:szCs w:val="28"/>
        </w:rPr>
        <w:t xml:space="preserve"> </w:t>
      </w:r>
      <w:r w:rsidR="001B0071">
        <w:rPr>
          <w:rFonts w:ascii="Times New Roman" w:hAnsi="Times New Roman"/>
          <w:sz w:val="28"/>
          <w:szCs w:val="28"/>
        </w:rPr>
        <w:t>2</w:t>
      </w:r>
      <w:r w:rsidRPr="00F7544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B0071" w:rsidRDefault="00F75443" w:rsidP="00ED3F95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443">
        <w:rPr>
          <w:rFonts w:ascii="Times New Roman" w:hAnsi="Times New Roman"/>
          <w:sz w:val="28"/>
          <w:szCs w:val="28"/>
        </w:rPr>
        <w:t>Информация о месте выдачи свидетельств об обучении и часах приема размещается на официальном сайте учреждения.</w:t>
      </w:r>
    </w:p>
    <w:p w:rsidR="001B0071" w:rsidRDefault="001B0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3"/>
      </w:tblGrid>
      <w:tr w:rsidR="00E9437D" w:rsidTr="00BF6B69">
        <w:tc>
          <w:tcPr>
            <w:tcW w:w="6345" w:type="dxa"/>
          </w:tcPr>
          <w:p w:rsidR="00E9437D" w:rsidRDefault="00E9437D" w:rsidP="00BF6B69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E9437D" w:rsidRDefault="00E9437D" w:rsidP="00E9437D">
            <w:pPr>
              <w:rPr>
                <w:rFonts w:ascii="Times New Roman" w:hAnsi="Times New Roman"/>
                <w:sz w:val="24"/>
                <w:szCs w:val="28"/>
              </w:rPr>
            </w:pPr>
            <w:r w:rsidRPr="001B0071">
              <w:rPr>
                <w:rFonts w:ascii="Times New Roman" w:hAnsi="Times New Roman"/>
                <w:sz w:val="24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к Порядку выдачи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документа об обучении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по образовательным программам,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по которым не предусмотрено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проведение итоговой аттестации</w:t>
            </w:r>
          </w:p>
        </w:tc>
      </w:tr>
    </w:tbl>
    <w:p w:rsidR="001B0071" w:rsidRPr="00F75443" w:rsidRDefault="001B0071" w:rsidP="001B0071">
      <w:pPr>
        <w:spacing w:before="240" w:after="240" w:line="240" w:lineRule="auto"/>
        <w:jc w:val="right"/>
        <w:rPr>
          <w:rFonts w:ascii="Times New Roman" w:hAnsi="Times New Roman"/>
        </w:rPr>
      </w:pPr>
      <w:r w:rsidRPr="00F75443">
        <w:rPr>
          <w:rFonts w:ascii="Times New Roman" w:hAnsi="Times New Roman"/>
        </w:rPr>
        <w:t>Лицевая сторона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9"/>
        <w:gridCol w:w="2565"/>
        <w:gridCol w:w="2581"/>
        <w:gridCol w:w="2566"/>
      </w:tblGrid>
      <w:tr w:rsidR="001B0071" w:rsidRPr="00F75443" w:rsidTr="00BF6B69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0071" w:rsidRPr="00193A8B" w:rsidRDefault="00E9437D" w:rsidP="00193A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</w:t>
            </w:r>
            <w:r w:rsidR="00193A8B" w:rsidRPr="00F75443">
              <w:rPr>
                <w:rFonts w:ascii="Times New Roman" w:hAnsi="Times New Roman"/>
              </w:rPr>
              <w:t xml:space="preserve">униципальное </w:t>
            </w:r>
            <w:r w:rsidR="00193A8B">
              <w:rPr>
                <w:rFonts w:ascii="Times New Roman" w:hAnsi="Times New Roman"/>
              </w:rPr>
              <w:t>обще</w:t>
            </w:r>
            <w:r w:rsidR="00193A8B" w:rsidRPr="00F75443">
              <w:rPr>
                <w:rFonts w:ascii="Times New Roman" w:hAnsi="Times New Roman"/>
              </w:rPr>
              <w:t xml:space="preserve">образовательное учреждение </w:t>
            </w:r>
            <w:r w:rsidR="00193A8B">
              <w:rPr>
                <w:rFonts w:ascii="Times New Roman" w:hAnsi="Times New Roman"/>
              </w:rPr>
              <w:t>«С</w:t>
            </w:r>
            <w:r w:rsidR="00193A8B" w:rsidRPr="00F75443">
              <w:rPr>
                <w:rFonts w:ascii="Times New Roman" w:hAnsi="Times New Roman"/>
              </w:rPr>
              <w:t>редняя школа №6</w:t>
            </w:r>
            <w:r w:rsidR="00193A8B">
              <w:rPr>
                <w:rFonts w:ascii="Times New Roman" w:hAnsi="Times New Roman"/>
              </w:rPr>
              <w:t>»</w:t>
            </w:r>
          </w:p>
        </w:tc>
      </w:tr>
      <w:tr w:rsidR="001B0071" w:rsidRPr="00F75443" w:rsidTr="00BF6B69">
        <w:tc>
          <w:tcPr>
            <w:tcW w:w="10421" w:type="dxa"/>
            <w:gridSpan w:val="4"/>
            <w:shd w:val="clear" w:color="auto" w:fill="auto"/>
          </w:tcPr>
          <w:p w:rsidR="001B0071" w:rsidRPr="00F75443" w:rsidRDefault="001B0071" w:rsidP="00BF6B6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443">
              <w:rPr>
                <w:rFonts w:ascii="Times New Roman" w:hAnsi="Times New Roman"/>
                <w:b/>
                <w:bCs/>
              </w:rPr>
              <w:t>Свидетельство</w:t>
            </w:r>
            <w:r w:rsidRPr="00F75443">
              <w:rPr>
                <w:rFonts w:ascii="Times New Roman" w:hAnsi="Times New Roman"/>
                <w:b/>
              </w:rPr>
              <w:t xml:space="preserve"> об обучении </w:t>
            </w: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  <w:vertAlign w:val="superscript"/>
              </w:rPr>
              <w:t>(фамилия, имя, отчество – при наличии)</w:t>
            </w: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rPr>
          <w:trHeight w:val="70"/>
        </w:trPr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  <w:vertAlign w:val="superscript"/>
              </w:rPr>
              <w:t>(дата рождения)</w:t>
            </w:r>
          </w:p>
        </w:tc>
      </w:tr>
      <w:tr w:rsidR="001B0071" w:rsidRPr="00F75443" w:rsidTr="00BF6B69">
        <w:tc>
          <w:tcPr>
            <w:tcW w:w="10421" w:type="dxa"/>
            <w:gridSpan w:val="4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прош___</w:t>
            </w:r>
            <w:r w:rsidR="00E9437D">
              <w:rPr>
                <w:rFonts w:ascii="Times New Roman" w:hAnsi="Times New Roman"/>
              </w:rPr>
              <w:t>_</w:t>
            </w:r>
            <w:r w:rsidRPr="00F75443">
              <w:rPr>
                <w:rFonts w:ascii="Times New Roman" w:hAnsi="Times New Roman"/>
              </w:rPr>
              <w:t xml:space="preserve"> обучение по [название программ]</w:t>
            </w: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5210" w:type="dxa"/>
            <w:gridSpan w:val="2"/>
            <w:shd w:val="clear" w:color="auto" w:fill="auto"/>
            <w:vAlign w:val="center"/>
          </w:tcPr>
          <w:p w:rsidR="001B0071" w:rsidRPr="00F75443" w:rsidRDefault="001B0071" w:rsidP="00BF6B69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М.П.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071" w:rsidRPr="00F75443" w:rsidRDefault="001B0071" w:rsidP="00BF6B69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2605" w:type="dxa"/>
            <w:shd w:val="clear" w:color="auto" w:fill="auto"/>
            <w:vAlign w:val="center"/>
          </w:tcPr>
          <w:p w:rsidR="001B0071" w:rsidRPr="00F75443" w:rsidRDefault="001B0071" w:rsidP="00BF6B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№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071" w:rsidRPr="00F75443" w:rsidRDefault="001B0071" w:rsidP="00BF6B69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1B0071" w:rsidRPr="00F75443" w:rsidRDefault="001B0071" w:rsidP="00BF6B69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071" w:rsidRPr="00F75443" w:rsidRDefault="001B0071" w:rsidP="00BF6B6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10421" w:type="dxa"/>
            <w:gridSpan w:val="4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10421" w:type="dxa"/>
            <w:gridSpan w:val="4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0071" w:rsidRPr="00F75443" w:rsidRDefault="001B0071" w:rsidP="001B0071">
      <w:pPr>
        <w:spacing w:before="240" w:after="240" w:line="240" w:lineRule="auto"/>
        <w:jc w:val="right"/>
        <w:rPr>
          <w:rFonts w:ascii="Times New Roman" w:hAnsi="Times New Roman"/>
        </w:rPr>
      </w:pPr>
      <w:r w:rsidRPr="00F75443">
        <w:rPr>
          <w:rFonts w:ascii="Times New Roman" w:hAnsi="Times New Roman"/>
        </w:rPr>
        <w:t>Оборотная сторона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  <w:gridCol w:w="2551"/>
      </w:tblGrid>
      <w:tr w:rsidR="001B0071" w:rsidRPr="00F75443" w:rsidTr="00BF6B69">
        <w:tc>
          <w:tcPr>
            <w:tcW w:w="3652" w:type="dxa"/>
            <w:shd w:val="clear" w:color="auto" w:fill="auto"/>
            <w:vAlign w:val="center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Наименование образовательной программы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Наименование курса, дисциплины, модуля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0071" w:rsidRPr="00F75443" w:rsidRDefault="001B0071" w:rsidP="00BF6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443">
              <w:rPr>
                <w:rFonts w:ascii="Times New Roman" w:hAnsi="Times New Roman"/>
              </w:rPr>
              <w:t>Общее количество часов</w:t>
            </w:r>
          </w:p>
        </w:tc>
      </w:tr>
      <w:tr w:rsidR="001B0071" w:rsidRPr="00F75443" w:rsidTr="00BF6B69">
        <w:tc>
          <w:tcPr>
            <w:tcW w:w="3652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3652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3652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3652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071" w:rsidRPr="00F75443" w:rsidTr="00BF6B69">
        <w:tc>
          <w:tcPr>
            <w:tcW w:w="3652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B0071" w:rsidRPr="00F75443" w:rsidRDefault="001B0071" w:rsidP="00BF6B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0071" w:rsidRPr="00F75443" w:rsidRDefault="001B0071" w:rsidP="001B0071">
      <w:pPr>
        <w:spacing w:before="240" w:after="240" w:line="240" w:lineRule="auto"/>
        <w:jc w:val="center"/>
        <w:rPr>
          <w:rFonts w:ascii="Times New Roman" w:hAnsi="Times New Roman"/>
        </w:rPr>
      </w:pPr>
      <w:r w:rsidRPr="00F75443">
        <w:rPr>
          <w:rFonts w:ascii="Times New Roman" w:hAnsi="Times New Roman"/>
        </w:rPr>
        <w:t xml:space="preserve">Технические требования к </w:t>
      </w:r>
      <w:r w:rsidRPr="00F75443">
        <w:rPr>
          <w:rFonts w:ascii="Times New Roman" w:hAnsi="Times New Roman"/>
          <w:bCs/>
        </w:rPr>
        <w:t>свидетельству</w:t>
      </w:r>
      <w:r w:rsidRPr="00F75443">
        <w:rPr>
          <w:rFonts w:ascii="Times New Roman" w:hAnsi="Times New Roman"/>
        </w:rPr>
        <w:t xml:space="preserve"> об обучении</w:t>
      </w:r>
    </w:p>
    <w:p w:rsidR="001B0071" w:rsidRPr="00F75443" w:rsidRDefault="001B0071" w:rsidP="001B00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5443">
        <w:rPr>
          <w:rFonts w:ascii="Times New Roman" w:hAnsi="Times New Roman"/>
          <w:bCs/>
        </w:rPr>
        <w:t>Свидетельство</w:t>
      </w:r>
      <w:r w:rsidRPr="00F75443">
        <w:rPr>
          <w:rFonts w:ascii="Times New Roman" w:hAnsi="Times New Roman"/>
        </w:rPr>
        <w:t xml:space="preserve"> об обучении имеет размер формата А5 (210*148 мм.), изготавливается на бумаге плотностью не менее 120 г/м2. Заполнение </w:t>
      </w:r>
      <w:r w:rsidRPr="00F75443">
        <w:rPr>
          <w:rFonts w:ascii="Times New Roman" w:hAnsi="Times New Roman"/>
          <w:bCs/>
        </w:rPr>
        <w:t>свидетельства</w:t>
      </w:r>
      <w:r w:rsidRPr="00F75443">
        <w:rPr>
          <w:rFonts w:ascii="Times New Roman" w:hAnsi="Times New Roman"/>
        </w:rPr>
        <w:t xml:space="preserve"> производится ручным или машинным способом.</w:t>
      </w:r>
    </w:p>
    <w:p w:rsidR="00F75443" w:rsidRPr="00F75443" w:rsidRDefault="00F75443" w:rsidP="001B007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B0071" w:rsidRPr="001B0071" w:rsidRDefault="00F75443" w:rsidP="00F754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F7544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3"/>
      </w:tblGrid>
      <w:tr w:rsidR="001B0071" w:rsidTr="001B0071">
        <w:tc>
          <w:tcPr>
            <w:tcW w:w="6345" w:type="dxa"/>
          </w:tcPr>
          <w:p w:rsidR="001B0071" w:rsidRDefault="001B0071" w:rsidP="00F75443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1B0071" w:rsidRDefault="001B0071" w:rsidP="001B0071">
            <w:pPr>
              <w:rPr>
                <w:rFonts w:ascii="Times New Roman" w:hAnsi="Times New Roman"/>
                <w:sz w:val="24"/>
                <w:szCs w:val="28"/>
              </w:rPr>
            </w:pPr>
            <w:r w:rsidRPr="001B0071">
              <w:rPr>
                <w:rFonts w:ascii="Times New Roman" w:hAnsi="Times New Roman"/>
                <w:sz w:val="24"/>
                <w:szCs w:val="28"/>
              </w:rPr>
              <w:t>Приложение № 2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к Порядку выдачи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документа об обучении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по образовательным программам,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по которым не предусмотрено</w:t>
            </w:r>
            <w:r w:rsidRPr="001B0071">
              <w:rPr>
                <w:rFonts w:ascii="Times New Roman" w:hAnsi="Times New Roman"/>
                <w:sz w:val="24"/>
                <w:szCs w:val="28"/>
              </w:rPr>
              <w:br/>
              <w:t>проведение итоговой аттестации</w:t>
            </w:r>
          </w:p>
        </w:tc>
      </w:tr>
    </w:tbl>
    <w:p w:rsidR="00F75443" w:rsidRPr="00F75443" w:rsidRDefault="00F75443" w:rsidP="00F75443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F75443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Книга учета выданных свидетельств об обучении</w:t>
      </w:r>
    </w:p>
    <w:p w:rsidR="00F75443" w:rsidRPr="00F75443" w:rsidRDefault="00E9437D" w:rsidP="00F754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м</w:t>
      </w:r>
      <w:r w:rsidR="00F75443" w:rsidRPr="00F75443">
        <w:rPr>
          <w:rFonts w:ascii="Times New Roman" w:hAnsi="Times New Roman"/>
        </w:rPr>
        <w:t xml:space="preserve">униципальное </w:t>
      </w:r>
      <w:r w:rsidR="00193A8B">
        <w:rPr>
          <w:rFonts w:ascii="Times New Roman" w:hAnsi="Times New Roman"/>
        </w:rPr>
        <w:t>обще</w:t>
      </w:r>
      <w:r w:rsidR="00F75443" w:rsidRPr="00F75443">
        <w:rPr>
          <w:rFonts w:ascii="Times New Roman" w:hAnsi="Times New Roman"/>
        </w:rPr>
        <w:t xml:space="preserve">образовательное учреждение </w:t>
      </w:r>
      <w:r w:rsidR="00193A8B">
        <w:rPr>
          <w:rFonts w:ascii="Times New Roman" w:hAnsi="Times New Roman"/>
        </w:rPr>
        <w:t>«С</w:t>
      </w:r>
      <w:r w:rsidR="00F75443" w:rsidRPr="00F75443">
        <w:rPr>
          <w:rFonts w:ascii="Times New Roman" w:hAnsi="Times New Roman"/>
        </w:rPr>
        <w:t>редняя школа №6</w:t>
      </w:r>
      <w:r w:rsidR="00193A8B">
        <w:rPr>
          <w:rFonts w:ascii="Times New Roman" w:hAnsi="Times New Roman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843"/>
        <w:gridCol w:w="2410"/>
        <w:gridCol w:w="2126"/>
        <w:gridCol w:w="1701"/>
      </w:tblGrid>
      <w:tr w:rsidR="00F75443" w:rsidRPr="00F75443" w:rsidTr="00193A8B">
        <w:tc>
          <w:tcPr>
            <w:tcW w:w="594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Дата получения свидетельства об обучении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(образовательных программ)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Дата и номер приказа об освоении образовательной программы (образовательных программ)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75443" w:rsidRPr="00F75443" w:rsidRDefault="00F75443" w:rsidP="0019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ФИО и подпись получателя свидетельства об обучении</w:t>
            </w:r>
          </w:p>
        </w:tc>
      </w:tr>
      <w:tr w:rsidR="00F75443" w:rsidRPr="00F75443" w:rsidTr="00461FF3">
        <w:tc>
          <w:tcPr>
            <w:tcW w:w="594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5443" w:rsidRPr="00F75443" w:rsidTr="00461FF3">
        <w:tc>
          <w:tcPr>
            <w:tcW w:w="594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5443" w:rsidRPr="00F75443" w:rsidRDefault="00F75443" w:rsidP="00F75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06" w:rsidRDefault="009E2806" w:rsidP="00B5025D"/>
    <w:p w:rsidR="009E2806" w:rsidRDefault="009E2806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DC3565" w:rsidRDefault="00DC3565" w:rsidP="00B5025D"/>
    <w:p w:rsidR="009E2806" w:rsidRDefault="009E2806" w:rsidP="009E2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</w:t>
      </w:r>
      <w:r w:rsidRPr="009E2806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>ом</w:t>
      </w:r>
      <w:r w:rsidRPr="009E2806">
        <w:rPr>
          <w:rFonts w:ascii="Times New Roman" w:hAnsi="Times New Roman"/>
          <w:sz w:val="28"/>
          <w:szCs w:val="28"/>
        </w:rPr>
        <w:t xml:space="preserve"> выдачи документа об обучении по образовательным программам, по которым не предусмотрено проведение итоговой аттестации</w:t>
      </w:r>
      <w:r w:rsidRPr="009E2806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приказом №01-11/112 от 21.06.2022 г. ознакомлены: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324"/>
        <w:gridCol w:w="1985"/>
        <w:gridCol w:w="2976"/>
      </w:tblGrid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Автин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pStyle w:val="aa"/>
              <w:ind w:left="0"/>
            </w:pPr>
            <w:r>
              <w:t>39.</w:t>
            </w:r>
            <w:r w:rsidRPr="0086078F">
              <w:t xml:space="preserve">Сафронова Е.Е. 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Агапова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pStyle w:val="aa"/>
              <w:ind w:left="0"/>
            </w:pPr>
            <w:r>
              <w:t>40.</w:t>
            </w:r>
            <w:r w:rsidRPr="0086078F">
              <w:t>Сергеичева Л.Ю.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Аксенова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pStyle w:val="aa"/>
              <w:ind w:left="0"/>
            </w:pPr>
            <w:r>
              <w:t>41.</w:t>
            </w:r>
            <w:r w:rsidRPr="0086078F">
              <w:t>Сечина В.М.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Арефьева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Тюшков И.В.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Белова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Устимова Ю.Ю.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Белокопытова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Федорова И.В.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Бравая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.Фролова М.А.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Варенцова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Тюшков И.В.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Герасимова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Устимова Ю.Ю.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Голубева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86078F">
              <w:rPr>
                <w:rFonts w:ascii="Times New Roman" w:hAnsi="Times New Roman"/>
                <w:sz w:val="24"/>
                <w:szCs w:val="24"/>
              </w:rPr>
              <w:t>. Федорова И.В.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Горшкова И.А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49.Фролова М.А.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Граевский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50.Циндяйкина Н.А.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Грешнев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078F">
              <w:rPr>
                <w:rFonts w:ascii="Times New Roman" w:hAnsi="Times New Roman"/>
                <w:sz w:val="24"/>
                <w:szCs w:val="24"/>
              </w:rPr>
              <w:t>51.Ширшина М.А.</w:t>
            </w: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Губинец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Гуренко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Егоричева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Емелина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Епифанова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Ершова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Захарова И.Л.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Зданевич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Кангина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Карпова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Карповская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Карповская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Касаткина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Киняпина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Киселева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Кузнецова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Курников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Лапина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Липатова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Морозова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Мостов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Мостова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Помешалкина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Романычева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65" w:rsidRPr="0086078F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DC3565">
            <w:pPr>
              <w:pStyle w:val="aa"/>
              <w:numPr>
                <w:ilvl w:val="0"/>
                <w:numId w:val="4"/>
              </w:numPr>
              <w:ind w:left="523" w:hanging="425"/>
            </w:pPr>
            <w:r w:rsidRPr="0086078F">
              <w:t>Савасина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86078F" w:rsidRDefault="00DC3565" w:rsidP="00C001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565" w:rsidRPr="009E2806" w:rsidRDefault="00DC3565" w:rsidP="009E2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806" w:rsidRPr="009E2806" w:rsidRDefault="009E2806" w:rsidP="009E2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E2806" w:rsidRDefault="009E2806" w:rsidP="00B5025D"/>
    <w:sectPr w:rsidR="009E2806" w:rsidSect="007B168A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65" w:rsidRDefault="00DC3565" w:rsidP="00DC3565">
      <w:pPr>
        <w:spacing w:after="0" w:line="240" w:lineRule="auto"/>
      </w:pPr>
      <w:r>
        <w:separator/>
      </w:r>
    </w:p>
  </w:endnote>
  <w:endnote w:type="continuationSeparator" w:id="0">
    <w:p w:rsidR="00DC3565" w:rsidRDefault="00DC3565" w:rsidP="00DC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588868"/>
      <w:docPartObj>
        <w:docPartGallery w:val="Page Numbers (Bottom of Page)"/>
        <w:docPartUnique/>
      </w:docPartObj>
    </w:sdtPr>
    <w:sdtEndPr/>
    <w:sdtContent>
      <w:p w:rsidR="00DC3565" w:rsidRDefault="00DC35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73">
          <w:rPr>
            <w:noProof/>
          </w:rPr>
          <w:t>1</w:t>
        </w:r>
        <w:r>
          <w:fldChar w:fldCharType="end"/>
        </w:r>
      </w:p>
    </w:sdtContent>
  </w:sdt>
  <w:p w:rsidR="00DC3565" w:rsidRDefault="00DC3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65" w:rsidRDefault="00DC3565" w:rsidP="00DC3565">
      <w:pPr>
        <w:spacing w:after="0" w:line="240" w:lineRule="auto"/>
      </w:pPr>
      <w:r>
        <w:separator/>
      </w:r>
    </w:p>
  </w:footnote>
  <w:footnote w:type="continuationSeparator" w:id="0">
    <w:p w:rsidR="00DC3565" w:rsidRDefault="00DC3565" w:rsidP="00DC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187"/>
    <w:multiLevelType w:val="hybridMultilevel"/>
    <w:tmpl w:val="075CD76C"/>
    <w:lvl w:ilvl="0" w:tplc="C744227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B4740CA"/>
    <w:multiLevelType w:val="hybridMultilevel"/>
    <w:tmpl w:val="A3D4703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4A69620F"/>
    <w:multiLevelType w:val="multilevel"/>
    <w:tmpl w:val="68447E78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945"/>
    <w:rsid w:val="000E437B"/>
    <w:rsid w:val="00155E7F"/>
    <w:rsid w:val="00193A8B"/>
    <w:rsid w:val="001B0071"/>
    <w:rsid w:val="001B0EDE"/>
    <w:rsid w:val="001B74BE"/>
    <w:rsid w:val="001D35E1"/>
    <w:rsid w:val="00285F71"/>
    <w:rsid w:val="00334945"/>
    <w:rsid w:val="003B5AC9"/>
    <w:rsid w:val="003E3D1D"/>
    <w:rsid w:val="005362EA"/>
    <w:rsid w:val="006801BD"/>
    <w:rsid w:val="00741A5F"/>
    <w:rsid w:val="007726C8"/>
    <w:rsid w:val="007B168A"/>
    <w:rsid w:val="007B51D9"/>
    <w:rsid w:val="00891973"/>
    <w:rsid w:val="009A3E46"/>
    <w:rsid w:val="009E2806"/>
    <w:rsid w:val="00A24B77"/>
    <w:rsid w:val="00AA71F3"/>
    <w:rsid w:val="00B04606"/>
    <w:rsid w:val="00B5025D"/>
    <w:rsid w:val="00DC3565"/>
    <w:rsid w:val="00E9437D"/>
    <w:rsid w:val="00ED3F95"/>
    <w:rsid w:val="00F7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D3AD4-CBA1-4BB5-B75E-340C2B91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B0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C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5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56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C35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16</cp:revision>
  <cp:lastPrinted>2023-04-27T10:50:00Z</cp:lastPrinted>
  <dcterms:created xsi:type="dcterms:W3CDTF">2014-03-17T07:22:00Z</dcterms:created>
  <dcterms:modified xsi:type="dcterms:W3CDTF">2023-04-27T10:51:00Z</dcterms:modified>
</cp:coreProperties>
</file>