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106503" w:rsidP="001D6DC4">
            <w:pPr>
              <w:tabs>
                <w:tab w:val="left" w:pos="4395"/>
              </w:tabs>
              <w:ind w:left="2301"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BD3817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D4706E">
              <w:rPr>
                <w:rFonts w:cs="Times New Roman"/>
                <w:szCs w:val="28"/>
              </w:rPr>
              <w:t>3</w:t>
            </w:r>
            <w:r w:rsidR="005762CC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5762CC">
              <w:rPr>
                <w:rFonts w:cs="Times New Roman"/>
                <w:szCs w:val="28"/>
              </w:rPr>
              <w:t>2</w:t>
            </w:r>
            <w:r w:rsidR="00BD3817">
              <w:rPr>
                <w:rFonts w:cs="Times New Roman"/>
                <w:szCs w:val="28"/>
              </w:rPr>
              <w:t>2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1D6DC4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13356B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D041F0" w:rsidRDefault="00D041F0" w:rsidP="001D6DC4">
            <w:pPr>
              <w:jc w:val="center"/>
              <w:rPr>
                <w:rFonts w:cs="Times New Roman"/>
                <w:b/>
                <w:szCs w:val="28"/>
              </w:rPr>
            </w:pPr>
            <w:r w:rsidRPr="00D041F0">
              <w:rPr>
                <w:rFonts w:cs="Times New Roman"/>
                <w:b/>
                <w:szCs w:val="28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1D6DC4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1D6DC4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Pr="00FA0C3E">
        <w:rPr>
          <w:rFonts w:cs="Times New Roman"/>
          <w:b/>
          <w:szCs w:val="28"/>
        </w:rPr>
        <w:t>20</w:t>
      </w:r>
      <w:r w:rsidR="00D4706E">
        <w:rPr>
          <w:rFonts w:cs="Times New Roman"/>
          <w:b/>
          <w:szCs w:val="28"/>
        </w:rPr>
        <w:t>2</w:t>
      </w:r>
      <w:r w:rsidR="00BD3817">
        <w:rPr>
          <w:rFonts w:cs="Times New Roman"/>
          <w:b/>
          <w:szCs w:val="28"/>
        </w:rPr>
        <w:t>3</w:t>
      </w:r>
      <w:r w:rsidR="00C46DAD" w:rsidRPr="00FA0C3E">
        <w:rPr>
          <w:rFonts w:cs="Times New Roman"/>
          <w:b/>
          <w:szCs w:val="28"/>
        </w:rPr>
        <w:t xml:space="preserve"> </w:t>
      </w:r>
      <w:r w:rsidRPr="00FA0C3E">
        <w:rPr>
          <w:rFonts w:cs="Times New Roman"/>
          <w:b/>
          <w:szCs w:val="28"/>
        </w:rPr>
        <w:t>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коррупционных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ковв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Исключение  (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lastRenderedPageBreak/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rFonts w:cs="Times New Roman"/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rFonts w:cs="Times New Roman"/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щего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ным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794B8E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794B8E">
              <w:rPr>
                <w:rFonts w:cs="Times New Roman"/>
                <w:sz w:val="26"/>
                <w:szCs w:val="26"/>
              </w:rPr>
              <w:t>беспечени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794B8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0777B" w:rsidRPr="002D62A8" w:rsidRDefault="0070777B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BD3817" w:rsidP="00AC36BA">
            <w:pPr>
              <w:ind w:firstLine="0"/>
              <w:rPr>
                <w:rFonts w:cs="Times New Roman"/>
                <w:sz w:val="26"/>
                <w:szCs w:val="26"/>
              </w:rPr>
            </w:pPr>
            <w:bookmarkStart w:id="0" w:name="_GoBack"/>
            <w:r>
              <w:rPr>
                <w:rFonts w:cs="Times New Roman"/>
                <w:sz w:val="26"/>
                <w:szCs w:val="26"/>
              </w:rPr>
              <w:t>Старкова А.С.</w:t>
            </w:r>
            <w:bookmarkEnd w:id="0"/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823520" w:rsidRDefault="00823520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BD3817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65032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16ED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C67D9"/>
    <w:rsid w:val="003D195A"/>
    <w:rsid w:val="003D65F1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762CC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B63C5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3817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038F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4706E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B89F34-BA23-4FC4-A553-2752B664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Вадим Губинец</cp:lastModifiedBy>
  <cp:revision>4</cp:revision>
  <cp:lastPrinted>2020-02-12T10:29:00Z</cp:lastPrinted>
  <dcterms:created xsi:type="dcterms:W3CDTF">2021-01-29T10:35:00Z</dcterms:created>
  <dcterms:modified xsi:type="dcterms:W3CDTF">2023-02-15T05:42:00Z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