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C0E20" w:rsidRPr="000C0E20" w14:paraId="1151C584" w14:textId="77777777" w:rsidTr="007932B4">
        <w:tc>
          <w:tcPr>
            <w:tcW w:w="5495" w:type="dxa"/>
          </w:tcPr>
          <w:p w14:paraId="01AB87D9" w14:textId="3A46D976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873D9D" w14:textId="55E44714"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14:paraId="5B538933" w14:textId="29B1941A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14:paraId="2EC36037" w14:textId="77777777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7AB2581C"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3F3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ABF7E4" w14:textId="1C8B665D"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3A735AB6"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64885C5B" w14:textId="6C5D304C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292586E0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14:paraId="21A86BED" w14:textId="72C0130C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14:paraId="55412CFA" w14:textId="5AA4089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616DF46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258EE231"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14:paraId="0C486D0B" w14:textId="784D7E0E"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proofErr w:type="gramStart"/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  <w:proofErr w:type="gramEnd"/>
    </w:p>
    <w:p w14:paraId="518BF41F" w14:textId="24F3735C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3D8E1764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271D120" w14:textId="569112E8"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14:paraId="343BFD19" w14:textId="5F67055C"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14:paraId="2FFF7CAF" w14:textId="4B4E3ECD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14:paraId="518A9F6B" w14:textId="12B77BD1"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14:paraId="775F0436" w14:textId="4E12B0E0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1652E383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0059B073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14:paraId="2ABECEF0" w14:textId="3D301E6F"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14:paraId="7515A154" w14:textId="367D70B0"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14:paraId="59DB130B" w14:textId="4418D531"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14:paraId="65028284" w14:textId="0BF2529B"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14:paraId="5E626026" w14:textId="5158EB69"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14:paraId="7F0F7DFF" w14:textId="77777777"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1061AAEF" w14:textId="46CEDDD8"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14:paraId="0DE739B7" w14:textId="6314A045"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7A9DDF5E" w14:textId="3695F90A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14:paraId="158F1AB4" w14:textId="77777777"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1333842E" w14:textId="4AF64FF8"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14:paraId="2E00211E" w14:textId="365AA959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0BD31952"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proofErr w:type="gramStart"/>
      <w:r w:rsidRPr="00CC1CE5">
        <w:rPr>
          <w:rFonts w:ascii="Times New Roman" w:eastAsia="Calibri" w:hAnsi="Times New Roman"/>
          <w:sz w:val="28"/>
        </w:rPr>
        <w:t>обучающихся</w:t>
      </w:r>
      <w:proofErr w:type="gramEnd"/>
      <w:r w:rsidRPr="00CC1CE5">
        <w:rPr>
          <w:rFonts w:ascii="Times New Roman" w:eastAsia="Calibri" w:hAnsi="Times New Roman"/>
          <w:sz w:val="28"/>
        </w:rPr>
        <w:t>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14:paraId="4487008C" w14:textId="2741970E"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14:paraId="20AEF090" w14:textId="729A2F82"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724F7B4F" w14:textId="440CF6ED"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14:paraId="6E3A6BF9" w14:textId="207ADD93"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14:paraId="524D2D69" w14:textId="1215F2A4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14:paraId="75D3FC05" w14:textId="425BFE0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14:paraId="607834B7" w14:textId="5C717522"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394A26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14:paraId="36E07DC4" w14:textId="12BB1AE6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06503D5E"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14:paraId="5052B51A" w14:textId="5B90B966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9059224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085AB52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525D5418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14:paraId="4AD970D3" w14:textId="5D77B606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14:paraId="12CA2101" w14:textId="6FC94973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6944B47D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274E1AE6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209A968E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246C3D5C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4FE9D2ED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4D0134E1" w14:textId="6CEF355E"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14:paraId="16A87E4E" w14:textId="3527FFC2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D61E2CF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82DF95B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04DDBBA1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364830A2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lastRenderedPageBreak/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14EC52E3" w14:textId="33C2897D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555AF355" w14:textId="7BC1B706"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6D5EA25A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4C854D6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669C94C8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FEF9E" w14:textId="33766567"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14:paraId="601CE726" w14:textId="77777777"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032A04" w14:textId="42763E35"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 xml:space="preserve">Заявления об участии в ИС подаются не </w:t>
      </w:r>
      <w:proofErr w:type="gramStart"/>
      <w:r w:rsidR="003871C9">
        <w:rPr>
          <w:rFonts w:ascii="Times New Roman" w:hAnsi="Times New Roman"/>
          <w:sz w:val="28"/>
          <w:szCs w:val="28"/>
        </w:rPr>
        <w:t>позднее</w:t>
      </w:r>
      <w:proofErr w:type="gramEnd"/>
      <w:r w:rsidR="003871C9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14:paraId="44DA992E" w14:textId="138F06FC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proofErr w:type="gramStart"/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proofErr w:type="gramEnd"/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53D58B2A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14:paraId="768C9740" w14:textId="7AB39018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A935A67" w14:textId="76B2716D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14:paraId="51FFE77A" w14:textId="65DDD353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5958800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 xml:space="preserve">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52BFE5C" w14:textId="3CF5B109"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lastRenderedPageBreak/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1AE44C6C" w14:textId="77777777"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9E42A" w14:textId="04761567"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1C173F60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1B9545ED" w14:textId="4131565D"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90A9C8E" w14:textId="5B2C5E14"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14:paraId="308EF6CD" w14:textId="7B3DA5D8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068F534D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6325D3F3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0" w:name="_Toc431030806"/>
    </w:p>
    <w:p w14:paraId="0B498B48" w14:textId="1BE20F40"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14:paraId="4B201577" w14:textId="32A1B82C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4FFB723B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6CA1" w14:textId="77777777"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14:paraId="7229879D" w14:textId="57752578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14:paraId="67AAFFE8" w14:textId="18B12E54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52B4D42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5274CB66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10A0C1D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14:paraId="4752FAD9" w14:textId="03EB3C1E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02B2FB4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25843D93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B0D935A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0427C02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5091EAE2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0B6DDD68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69341B59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lastRenderedPageBreak/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2E3D44E2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048E8DC5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3F6746F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41851151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06AF0528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66434DB6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5C1D7485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0CE9371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28344CD8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10835D93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14:paraId="143F8017" w14:textId="5D4C13DC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5CD4E0B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6411CEE9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6782E995"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14:paraId="7B1CA58C" w14:textId="3EDBBD39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14:paraId="1507F4E8" w14:textId="1F4FA2AA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lastRenderedPageBreak/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  <w:proofErr w:type="gramEnd"/>
    </w:p>
    <w:p w14:paraId="6D4B244C" w14:textId="7A14F7EB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3320717A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14:paraId="3464B9BB" w14:textId="154913F8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34F0C4D6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3C8E19D3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12C98B1C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63A606D5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14:paraId="64E82307" w14:textId="0D2189CD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4A0DA7E3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14:paraId="63D86175" w14:textId="4218A005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2B4D105D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6CC966CD" w14:textId="41FEA378"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11C14743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6B90EC35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5D4529FD"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50A8B52D" w14:textId="42253DFA"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14:paraId="12682285" w14:textId="6245D494"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33FD835E" w14:textId="21F71123"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14:paraId="70960598" w14:textId="77655E5F"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14:paraId="5C989875" w14:textId="34C4720E"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14:paraId="1D65A653" w14:textId="1FCAD609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14:paraId="5FAA74EC" w14:textId="68A3A1DE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6FD105BC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3A8635E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534A75AE" w14:textId="0FA26855"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14:paraId="4C2DE73B" w14:textId="0F837E09"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14:paraId="35418D35" w14:textId="1F5E11AA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14:paraId="2ED30525" w14:textId="08B03E33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31954A8B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14:paraId="714A462F" w14:textId="2173279A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0E2A994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4FCC0FDC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14:paraId="6FD40AC8" w14:textId="272519B5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bookmarkStart w:id="1" w:name="_GoBack"/>
      <w:bookmarkEnd w:id="1"/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6717A69D"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4F5D5F6F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14:paraId="583BA077" w14:textId="293192D6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04833EBD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417B2EB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1F58ACA3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52DA50D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14:paraId="52553C0F" w14:textId="72457CD2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4EEC086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598CF5B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4D8D6BA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2C7C00F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14:paraId="2AFB9051" w14:textId="642E2221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29135F7A" w14:textId="726133B0"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437250A9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192B00D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14:paraId="11A8598A" w14:textId="5090D879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E3FFE06"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6B2B64F6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14:paraId="4127B920" w14:textId="2839A66F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934395B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14:paraId="13070AAE" w14:textId="5B88706C"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14:paraId="2757FB94" w14:textId="7B142BD0"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14:paraId="10316F49" w14:textId="33C55948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87AAD9E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16499773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11BBDB84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034FDD3D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BE14F3E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2CC79FC6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40D68A7F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0E1FC049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14:paraId="404FA4B2" w14:textId="076FE9B1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</w:t>
      </w:r>
      <w:proofErr w:type="gramStart"/>
      <w:r w:rsidR="00CE0CA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CE0CA7">
        <w:rPr>
          <w:rFonts w:ascii="Times New Roman" w:hAnsi="Times New Roman"/>
          <w:sz w:val="28"/>
          <w:szCs w:val="28"/>
        </w:rPr>
        <w:t xml:space="preserve">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5AD1B728"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3B051280"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14:paraId="124FA54F" w14:textId="505715E5"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proofErr w:type="gramStart"/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  <w:proofErr w:type="gramEnd"/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6EDB66" w14:textId="5B9B4BAF"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5E85984D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657FF919"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2E6F633B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</w:t>
      </w:r>
      <w:proofErr w:type="gramStart"/>
      <w:r w:rsidR="00ED780B" w:rsidRPr="009142F0">
        <w:rPr>
          <w:sz w:val="28"/>
          <w:szCs w:val="28"/>
        </w:rPr>
        <w:t xml:space="preserve">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>получения</w:t>
      </w:r>
      <w:proofErr w:type="gramEnd"/>
      <w:r w:rsidR="00ED780B" w:rsidRPr="009142F0">
        <w:rPr>
          <w:sz w:val="28"/>
          <w:szCs w:val="28"/>
        </w:rPr>
        <w:t xml:space="preserve">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4D620ED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14:paraId="062F5C15" w14:textId="5DEA93EE"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14:paraId="35C0A356" w14:textId="2D67AD72"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F43A85">
        <w:rPr>
          <w:rFonts w:ascii="Times New Roman" w:hAnsi="Times New Roman"/>
          <w:sz w:val="28"/>
          <w:szCs w:val="28"/>
        </w:rPr>
        <w:t xml:space="preserve">удаленные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proofErr w:type="gramEnd"/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14:paraId="61EC487A" w14:textId="30D8888F"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14:paraId="40A548A9" w14:textId="75266E2F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lastRenderedPageBreak/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14:paraId="1FE15B28" w14:textId="3D44F1EB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14:paraId="2372C641" w14:textId="77777777"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4A31E6E9" w14:textId="6A0F2021"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283E3A" w14:textId="7CBD3354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802AD" w14:textId="197458A8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2FBB64E4" w14:textId="2186A449"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14:paraId="431A4197" w14:textId="0E282EB2"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14:paraId="615311A0" w14:textId="36942C18"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14:paraId="3348B137" w14:textId="36B54203"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14:paraId="0C418390" w14:textId="77777777"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C7259" w14:textId="5CE709B1"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152B85CB" w14:textId="566A03C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3DA65979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14:paraId="1BD8F992" w14:textId="77777777"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273FE740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1E505002" w14:textId="7C667967"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14:paraId="6C0C2791" w14:textId="440E23ED"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14:paraId="739A1E29" w14:textId="77777777"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Ind w:w="40" w:type="dxa"/>
        <w:tblLayout w:type="fixed"/>
        <w:tblLook w:val="04A0" w:firstRow="1" w:lastRow="0" w:firstColumn="1" w:lastColumn="0" w:noHBand="0" w:noVBand="1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14:paraId="1F05140A" w14:textId="77777777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AA6264">
        <w:trPr>
          <w:tblHeader/>
          <w:jc w:val="center"/>
        </w:trPr>
        <w:tc>
          <w:tcPr>
            <w:tcW w:w="188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5C3810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C4C4F2E" w14:textId="7EBF4F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14:paraId="1E68C3C7" w14:textId="0C4FF723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6FE22871" w14:textId="77777777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2CC6EB1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14:paraId="1DD5885F" w14:textId="72C8A5B2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7EAA8963" w14:textId="16898F68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282C904D" w14:textId="364F586E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863B6E4"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6DBF615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443CAFA4" w14:textId="286CFE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789E5B8E" w14:textId="77777777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6C6FF56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14:paraId="19997BF8" w14:textId="1E266C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43149D0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14:paraId="419B29C6" w14:textId="08D83EEE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14:paraId="44738E16" w14:textId="77777777"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14:paraId="6C6CD51C" w14:textId="77777777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1B99894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481F0E87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6A7D23B0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14:paraId="5DCF1531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14:paraId="2647FD0D" w14:textId="77777777" w:rsidTr="00AA6264">
        <w:trPr>
          <w:tblHeader/>
          <w:jc w:val="center"/>
        </w:trPr>
        <w:tc>
          <w:tcPr>
            <w:tcW w:w="1925" w:type="dxa"/>
            <w:vMerge/>
          </w:tcPr>
          <w:p w14:paraId="26388AFC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6238AA1B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2AF5E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E6FA8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0BE56F3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11A76B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14:paraId="5F499E3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5F0FEC6B" w14:textId="77777777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380F0D7C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0C2EAB27"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0EDD4DB4" w14:textId="7568B17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5AFAB573" w14:textId="4C6CF8D6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ABDFC6A" w14:textId="77777777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0B9319EA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1E50A03" w14:textId="2555D643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1CDD92E3" w14:textId="77777777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6909A147"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1DC7D383" w14:textId="317D11F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160A1BEA" w14:textId="2625E24E"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47B6A3D3" w14:textId="77777777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39B8C171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136FA22C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60C6DA6E" w14:textId="5BBEF7CD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2B6ABC9C" w14:textId="77777777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B15D813" w14:textId="77777777"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6CCDF8CC" w14:textId="483564C4"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34CE9508" w14:textId="43677F41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4383589" w14:textId="7489C876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37E9250" w14:textId="77777777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3DEC6194" w14:textId="44281A90"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AA6264">
        <w:trPr>
          <w:jc w:val="center"/>
        </w:trPr>
        <w:tc>
          <w:tcPr>
            <w:tcW w:w="1925" w:type="dxa"/>
            <w:vAlign w:val="center"/>
          </w:tcPr>
          <w:p w14:paraId="59C00F0E" w14:textId="012ECA5C"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64DC4DA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4A350DB" w14:textId="729AEF9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2E0AC995" w14:textId="77777777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3CE5F5A7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EEDA2FB" w14:textId="5D0DEF4B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D923BBE" w14:textId="7AA1F21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69287AB3" w14:textId="77777777" w:rsidTr="00AA6264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31D1B1D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973DA9C" w14:textId="549FD88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6C969D96" w14:textId="1342639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2F9B4ABB"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14:paraId="5111AFA2" w14:textId="27E5A297"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5574958C"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049"/>
        <w:gridCol w:w="4535"/>
        <w:gridCol w:w="1985"/>
      </w:tblGrid>
      <w:tr w:rsidR="00422A44" w:rsidRPr="003116FB" w14:paraId="6C1E5426" w14:textId="77777777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14:paraId="486E1A95" w14:textId="77777777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4A804073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46DFF815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14:paraId="5425BB9C" w14:textId="1233551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14:paraId="469B3B92" w14:textId="773ED25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CE82" w14:textId="56BFD4D4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07BDB699" w14:textId="77777777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35355AF0"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05AA584F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14:paraId="66003965" w14:textId="0DBC238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E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14:paraId="06A50BA1" w14:textId="77777777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9DE" w14:textId="67981961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2E559B2A" w14:textId="77777777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138EE1B9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2FF212A3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43FDE823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14:paraId="1D8F6194" w14:textId="52B80E64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14:paraId="42B691B2" w14:textId="4AB4754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14:paraId="209F2D28" w14:textId="3E80149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1CB" w14:textId="5163B196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66716DF4" w14:textId="77777777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4D21E4C2"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5CE9BE00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14:paraId="0ACE8678" w14:textId="40FD932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3009726D" w14:textId="567173A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7577885A" w14:textId="1CFAC9E1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5B6CCD9" w14:textId="32562A6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31CCF621" w14:textId="42AB23B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14:paraId="58C10C4C" w14:textId="6D811915"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5500805D" w14:textId="63B5B877"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466B9C9E" w14:textId="3E108B13"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101A6CA" w14:textId="4DEDE791"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49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0F494D13"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E68A0" w14:textId="77777777" w:rsidR="00241ADD" w:rsidRDefault="00241ADD" w:rsidP="0072279C">
      <w:pPr>
        <w:spacing w:after="0" w:line="240" w:lineRule="auto"/>
      </w:pPr>
      <w:r>
        <w:separator/>
      </w:r>
    </w:p>
  </w:endnote>
  <w:endnote w:type="continuationSeparator" w:id="0">
    <w:p w14:paraId="756BE856" w14:textId="77777777" w:rsidR="00241ADD" w:rsidRDefault="00241ADD" w:rsidP="0072279C">
      <w:pPr>
        <w:spacing w:after="0" w:line="240" w:lineRule="auto"/>
      </w:pPr>
      <w:r>
        <w:continuationSeparator/>
      </w:r>
    </w:p>
  </w:endnote>
  <w:endnote w:type="continuationNotice" w:id="1">
    <w:p w14:paraId="3D5E3B93" w14:textId="77777777" w:rsidR="00241ADD" w:rsidRDefault="00241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7C89B" w14:textId="77777777" w:rsidR="00241ADD" w:rsidRDefault="00241ADD" w:rsidP="0072279C">
      <w:pPr>
        <w:spacing w:after="0" w:line="240" w:lineRule="auto"/>
      </w:pPr>
      <w:r>
        <w:separator/>
      </w:r>
    </w:p>
  </w:footnote>
  <w:footnote w:type="continuationSeparator" w:id="0">
    <w:p w14:paraId="7911AC3D" w14:textId="77777777" w:rsidR="00241ADD" w:rsidRDefault="00241ADD" w:rsidP="0072279C">
      <w:pPr>
        <w:spacing w:after="0" w:line="240" w:lineRule="auto"/>
      </w:pPr>
      <w:r>
        <w:continuationSeparator/>
      </w:r>
    </w:p>
  </w:footnote>
  <w:footnote w:type="continuationNotice" w:id="1">
    <w:p w14:paraId="2C176D90" w14:textId="77777777" w:rsidR="00241ADD" w:rsidRDefault="00241ADD">
      <w:pPr>
        <w:spacing w:after="0" w:line="240" w:lineRule="auto"/>
      </w:pPr>
    </w:p>
  </w:footnote>
  <w:footnote w:id="2">
    <w:p w14:paraId="0B6CF00F" w14:textId="51596C46"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  <w:footnote w:id="3">
    <w:p w14:paraId="4DA9D7DA" w14:textId="49A44056"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E33054" w:rsidRPr="00CB5E5D" w:rsidRDefault="00E3305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5F65CF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E33054" w:rsidRDefault="00E330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7E52F4-348D-411E-8E6B-4BE7244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Зыкова Надежда Юрьевна</cp:lastModifiedBy>
  <cp:revision>16</cp:revision>
  <cp:lastPrinted>2023-12-12T14:06:00Z</cp:lastPrinted>
  <dcterms:created xsi:type="dcterms:W3CDTF">2023-12-12T07:09:00Z</dcterms:created>
  <dcterms:modified xsi:type="dcterms:W3CDTF">2023-12-12T14:19:00Z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